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object w:dxaOrig="971" w:dyaOrig="1296">
          <v:rect xmlns:o="urn:schemas-microsoft-com:office:office" xmlns:v="urn:schemas-microsoft-com:vml" id="rectole0000000000" style="width:48.550000pt;height:64.8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PRIM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ĂRIA ORAŞULUI PODU ILOAIEI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Str. 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ţională nr. 53, Podu Iloaiei, jud. Iaşi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România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Telefon: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0232/74O656, 0232/740646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Fax: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0232/740605</w:t>
      </w:r>
    </w:p>
    <w:p>
      <w:pPr>
        <w:tabs>
          <w:tab w:val="left" w:pos="52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ROMÂNIA                                                         e-mail: </w:t>
      </w:r>
      <w:hyperlink xmlns:r="http://schemas.openxmlformats.org/officeDocument/2006/relationships" r:id="docRId2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podu_iloaiei@yahoo.com</w:t>
        </w:r>
      </w:hyperlink>
    </w:p>
    <w:p>
      <w:pPr>
        <w:tabs>
          <w:tab w:val="left" w:pos="523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                                                                         Compartimentul: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 xml:space="preserve">Resurse umane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8"/>
          <w:shd w:fill="auto" w:val="clear"/>
        </w:rPr>
        <w:t xml:space="preserve">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18"/>
          <w:shd w:fill="auto" w:val="clear"/>
        </w:rPr>
        <w:tab/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Comisia de concurs numit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ă prin Dispoziţia nr. 464/2024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Nr. 17892/04.12.2024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Rezultat final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la  concursului organizat pentru ocuparea func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ției publice vacante de - inspector, clasa I, grad profesional asistent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Compartiment Patrimoniu, Lucrări Publice si Transport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din data de 29.11.2024 - proba scris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ă </w:t>
      </w:r>
    </w:p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3544"/>
        <w:gridCol w:w="1843"/>
        <w:gridCol w:w="992"/>
        <w:gridCol w:w="1134"/>
        <w:gridCol w:w="993"/>
        <w:gridCol w:w="1134"/>
      </w:tblGrid>
      <w:tr>
        <w:trPr>
          <w:trHeight w:val="1047" w:hRule="auto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Num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ărul de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înregistrare atribuit dosarului de înscriere la concurs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Rezultatul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eligibilit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ății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candidatilor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hanging="215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Prob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scris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ă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Interviu</w:t>
            </w:r>
          </w:p>
        </w:tc>
        <w:tc>
          <w:tcPr>
            <w:tcW w:w="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hanging="215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Punctaj  </w:t>
            </w:r>
          </w:p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final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hanging="215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Rezultat</w:t>
            </w:r>
          </w:p>
          <w:p>
            <w:pPr>
              <w:spacing w:before="0" w:after="0" w:line="276"/>
              <w:ind w:right="0" w:left="0" w:hanging="215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final</w:t>
            </w:r>
          </w:p>
        </w:tc>
      </w:tr>
      <w:tr>
        <w:trPr>
          <w:trHeight w:val="446" w:hRule="auto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dosar nr. 15692/2024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admis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absent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hanging="215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respins</w:t>
            </w:r>
          </w:p>
        </w:tc>
      </w:tr>
      <w:tr>
        <w:trPr>
          <w:trHeight w:val="446" w:hRule="auto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dosar nr. 16141/2024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admis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42p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respins</w:t>
            </w:r>
          </w:p>
        </w:tc>
        <w:tc>
          <w:tcPr>
            <w:tcW w:w="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hanging="215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respins</w:t>
            </w:r>
          </w:p>
        </w:tc>
      </w:tr>
      <w:tr>
        <w:trPr>
          <w:trHeight w:val="446" w:hRule="auto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dosar nr. 16360/2024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admis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absent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hanging="215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respins</w:t>
            </w:r>
          </w:p>
        </w:tc>
      </w:tr>
      <w:tr>
        <w:trPr>
          <w:trHeight w:val="446" w:hRule="auto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dosar nr. 16496/2024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admis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69p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70p</w:t>
            </w:r>
          </w:p>
        </w:tc>
        <w:tc>
          <w:tcPr>
            <w:tcW w:w="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139p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hanging="215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admis</w:t>
            </w:r>
          </w:p>
        </w:tc>
      </w:tr>
      <w:tr>
        <w:trPr>
          <w:trHeight w:val="200" w:hRule="auto"/>
          <w:jc w:val="left"/>
        </w:trPr>
        <w:tc>
          <w:tcPr>
            <w:tcW w:w="3544" w:type="dxa"/>
            <w:tcBorders>
              <w:top w:val="single" w:color="000000" w:sz="4"/>
              <w:left w:val="single" w:color="000000" w:sz="6"/>
              <w:bottom w:val="single" w:color="000000" w:sz="4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dosar nr. 16827/2024</w:t>
            </w:r>
          </w:p>
        </w:tc>
        <w:tc>
          <w:tcPr>
            <w:tcW w:w="184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admis</w:t>
            </w:r>
          </w:p>
        </w:tc>
        <w:tc>
          <w:tcPr>
            <w:tcW w:w="99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18p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respins</w:t>
            </w:r>
          </w:p>
        </w:tc>
        <w:tc>
          <w:tcPr>
            <w:tcW w:w="99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1134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hanging="215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respins</w:t>
            </w:r>
          </w:p>
        </w:tc>
      </w:tr>
    </w:tbl>
    <w:p>
      <w:pPr>
        <w:spacing w:before="0" w:after="0" w:line="276"/>
        <w:ind w:right="0" w:left="0" w:firstLine="708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Afi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șat astăzi 04.12.2024, ora 16,00 la sediul Primăriei oraș Podu Iloaiei şi pe pagina de Internet </w:t>
      </w:r>
      <w:hyperlink xmlns:r="http://schemas.openxmlformats.org/officeDocument/2006/relationships" r:id="docRId3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www.primariapodu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la rubrica ,,Concursuri,,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SECRETARUL COMISIEI,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Referent   Dorneanu Dorina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Mode="External" Target="http://www.primariapodu/" Id="docRId3" Type="http://schemas.openxmlformats.org/officeDocument/2006/relationships/hyperlink" /><Relationship Target="styles.xml" Id="docRId5" Type="http://schemas.openxmlformats.org/officeDocument/2006/relationships/styles" /><Relationship Target="embeddings/oleObject0.bin" Id="docRId0" Type="http://schemas.openxmlformats.org/officeDocument/2006/relationships/oleObject" /><Relationship TargetMode="External" Target="mailto:podu_iloaiei@yahoo.com" Id="docRId2" Type="http://schemas.openxmlformats.org/officeDocument/2006/relationships/hyperlink" /><Relationship Target="numbering.xml" Id="docRId4" Type="http://schemas.openxmlformats.org/officeDocument/2006/relationships/numbering" /></Relationships>
</file>